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715" w:rsidRDefault="006F2715" w:rsidP="006F2715">
      <w:pPr>
        <w:pStyle w:val="PlainText"/>
      </w:pPr>
      <w:bookmarkStart w:id="0" w:name="_GoBack"/>
      <w:bookmarkEnd w:id="0"/>
    </w:p>
    <w:p w:rsidR="006F2715" w:rsidRPr="00B57AAC" w:rsidRDefault="006F2715" w:rsidP="0002523E">
      <w:pPr>
        <w:pStyle w:val="PlainText"/>
        <w:jc w:val="center"/>
        <w:rPr>
          <w:b/>
          <w:sz w:val="28"/>
          <w:szCs w:val="28"/>
        </w:rPr>
      </w:pPr>
      <w:r w:rsidRPr="00B57AAC">
        <w:rPr>
          <w:b/>
          <w:sz w:val="28"/>
          <w:szCs w:val="28"/>
        </w:rPr>
        <w:t xml:space="preserve">Extracting Mouse Genetic </w:t>
      </w:r>
      <w:r w:rsidR="0002523E" w:rsidRPr="00B57AAC">
        <w:rPr>
          <w:b/>
          <w:sz w:val="28"/>
          <w:szCs w:val="28"/>
        </w:rPr>
        <w:t>Project</w:t>
      </w:r>
      <w:r w:rsidRPr="00B57AAC">
        <w:rPr>
          <w:b/>
          <w:sz w:val="28"/>
          <w:szCs w:val="28"/>
        </w:rPr>
        <w:t xml:space="preserve"> raw phenotyping data</w:t>
      </w:r>
    </w:p>
    <w:p w:rsidR="00B57AAC" w:rsidRDefault="00B57AAC" w:rsidP="0002523E">
      <w:pPr>
        <w:pStyle w:val="PlainText"/>
        <w:jc w:val="center"/>
        <w:rPr>
          <w:sz w:val="28"/>
          <w:szCs w:val="28"/>
        </w:rPr>
      </w:pPr>
      <w:r>
        <w:rPr>
          <w:sz w:val="28"/>
          <w:szCs w:val="28"/>
        </w:rPr>
        <w:t>Natasha Karp, Simon Holroyd, David Melvin</w:t>
      </w:r>
    </w:p>
    <w:p w:rsidR="00B57AAC" w:rsidRDefault="00B57AAC" w:rsidP="0002523E">
      <w:pPr>
        <w:pStyle w:val="PlainText"/>
        <w:jc w:val="center"/>
        <w:rPr>
          <w:sz w:val="28"/>
          <w:szCs w:val="28"/>
        </w:rPr>
      </w:pPr>
      <w:r>
        <w:rPr>
          <w:sz w:val="28"/>
          <w:szCs w:val="28"/>
        </w:rPr>
        <w:t>Mouse Informatics Group</w:t>
      </w:r>
    </w:p>
    <w:p w:rsidR="00B57AAC" w:rsidRDefault="00B57AAC" w:rsidP="0002523E">
      <w:pPr>
        <w:pStyle w:val="PlainText"/>
        <w:jc w:val="center"/>
        <w:rPr>
          <w:sz w:val="28"/>
          <w:szCs w:val="28"/>
        </w:rPr>
      </w:pPr>
      <w:r>
        <w:rPr>
          <w:sz w:val="28"/>
          <w:szCs w:val="28"/>
        </w:rPr>
        <w:t>Wellcome Trust Sanger Institute</w:t>
      </w:r>
    </w:p>
    <w:p w:rsidR="00B57AAC" w:rsidRDefault="00B57AAC" w:rsidP="0002523E">
      <w:pPr>
        <w:pStyle w:val="PlainText"/>
        <w:jc w:val="center"/>
        <w:rPr>
          <w:sz w:val="28"/>
          <w:szCs w:val="28"/>
        </w:rPr>
      </w:pPr>
    </w:p>
    <w:p w:rsidR="00B57AAC" w:rsidRPr="0002523E" w:rsidRDefault="00B57AAC" w:rsidP="0002523E">
      <w:pPr>
        <w:pStyle w:val="PlainText"/>
        <w:jc w:val="center"/>
        <w:rPr>
          <w:sz w:val="28"/>
          <w:szCs w:val="28"/>
        </w:rPr>
      </w:pPr>
      <w:r>
        <w:rPr>
          <w:sz w:val="28"/>
          <w:szCs w:val="28"/>
        </w:rPr>
        <w:t>Revision A – 15</w:t>
      </w:r>
      <w:r w:rsidRPr="00B57AAC">
        <w:rPr>
          <w:sz w:val="28"/>
          <w:szCs w:val="28"/>
          <w:vertAlign w:val="superscript"/>
        </w:rPr>
        <w:t>th</w:t>
      </w:r>
      <w:r>
        <w:rPr>
          <w:sz w:val="28"/>
          <w:szCs w:val="28"/>
        </w:rPr>
        <w:t xml:space="preserve"> December 2011</w:t>
      </w:r>
    </w:p>
    <w:p w:rsidR="006F2715" w:rsidRDefault="006F2715" w:rsidP="006F2715">
      <w:pPr>
        <w:pStyle w:val="PlainText"/>
      </w:pPr>
    </w:p>
    <w:p w:rsidR="00F47D15" w:rsidRPr="00F47D15" w:rsidRDefault="00F47D15" w:rsidP="006F2715">
      <w:pPr>
        <w:pStyle w:val="PlainText"/>
        <w:rPr>
          <w:b/>
        </w:rPr>
      </w:pPr>
      <w:r w:rsidRPr="00F47D15">
        <w:rPr>
          <w:b/>
        </w:rPr>
        <w:t>Introduction</w:t>
      </w:r>
    </w:p>
    <w:p w:rsidR="00B57AAC" w:rsidRDefault="00B57AAC" w:rsidP="0002523E">
      <w:pPr>
        <w:pStyle w:val="PlainText"/>
        <w:jc w:val="both"/>
        <w:rPr>
          <w:rFonts w:asciiTheme="minorHAnsi" w:hAnsiTheme="minorHAnsi" w:cstheme="minorHAnsi"/>
        </w:rPr>
      </w:pPr>
      <w:r>
        <w:rPr>
          <w:rFonts w:asciiTheme="minorHAnsi" w:hAnsiTheme="minorHAnsi" w:cstheme="minorHAnsi"/>
        </w:rPr>
        <w:t>Raw</w:t>
      </w:r>
      <w:r w:rsidR="006F2715" w:rsidRPr="0002523E">
        <w:rPr>
          <w:rFonts w:asciiTheme="minorHAnsi" w:hAnsiTheme="minorHAnsi" w:cstheme="minorHAnsi"/>
        </w:rPr>
        <w:t xml:space="preserve"> phe</w:t>
      </w:r>
      <w:r w:rsidR="0002523E" w:rsidRPr="0002523E">
        <w:rPr>
          <w:rFonts w:asciiTheme="minorHAnsi" w:hAnsiTheme="minorHAnsi" w:cstheme="minorHAnsi"/>
        </w:rPr>
        <w:t>notyping data</w:t>
      </w:r>
      <w:r>
        <w:rPr>
          <w:rFonts w:asciiTheme="minorHAnsi" w:hAnsiTheme="minorHAnsi" w:cstheme="minorHAnsi"/>
        </w:rPr>
        <w:t xml:space="preserve"> is available through </w:t>
      </w:r>
      <w:r w:rsidR="00B13236">
        <w:rPr>
          <w:rFonts w:asciiTheme="minorHAnsi" w:hAnsiTheme="minorHAnsi" w:cstheme="minorHAnsi"/>
        </w:rPr>
        <w:t xml:space="preserve">a </w:t>
      </w:r>
      <w:r>
        <w:rPr>
          <w:rFonts w:asciiTheme="minorHAnsi" w:hAnsiTheme="minorHAnsi" w:cstheme="minorHAnsi"/>
        </w:rPr>
        <w:t xml:space="preserve">publicly available </w:t>
      </w:r>
      <w:proofErr w:type="spellStart"/>
      <w:r w:rsidR="00B13236">
        <w:rPr>
          <w:rFonts w:asciiTheme="minorHAnsi" w:hAnsiTheme="minorHAnsi" w:cstheme="minorHAnsi"/>
        </w:rPr>
        <w:t>BioM</w:t>
      </w:r>
      <w:r>
        <w:rPr>
          <w:rFonts w:asciiTheme="minorHAnsi" w:hAnsiTheme="minorHAnsi" w:cstheme="minorHAnsi"/>
        </w:rPr>
        <w:t>art</w:t>
      </w:r>
      <w:proofErr w:type="spellEnd"/>
      <w:r w:rsidR="00F47D15">
        <w:rPr>
          <w:rStyle w:val="FootnoteReference"/>
          <w:rFonts w:asciiTheme="minorHAnsi" w:hAnsiTheme="minorHAnsi" w:cstheme="minorHAnsi"/>
        </w:rPr>
        <w:footnoteReference w:id="1"/>
      </w:r>
      <w:r>
        <w:rPr>
          <w:rFonts w:asciiTheme="minorHAnsi" w:hAnsiTheme="minorHAnsi" w:cstheme="minorHAnsi"/>
        </w:rPr>
        <w:t xml:space="preserve"> interface. This</w:t>
      </w:r>
      <w:r w:rsidR="0002523E" w:rsidRPr="0002523E">
        <w:rPr>
          <w:rFonts w:asciiTheme="minorHAnsi" w:hAnsiTheme="minorHAnsi" w:cstheme="minorHAnsi"/>
        </w:rPr>
        <w:t xml:space="preserve"> can be accessed at the following </w:t>
      </w:r>
      <w:r>
        <w:rPr>
          <w:rFonts w:asciiTheme="minorHAnsi" w:hAnsiTheme="minorHAnsi" w:cstheme="minorHAnsi"/>
        </w:rPr>
        <w:t xml:space="preserve">web address </w:t>
      </w:r>
      <w:hyperlink r:id="rId9" w:history="1">
        <w:r w:rsidR="0002523E" w:rsidRPr="0002523E">
          <w:rPr>
            <w:rStyle w:val="Hyperlink"/>
            <w:rFonts w:asciiTheme="minorHAnsi" w:hAnsiTheme="minorHAnsi" w:cstheme="minorHAnsi"/>
          </w:rPr>
          <w:t>http://www.sanger.ac.uk/htgt/biomart</w:t>
        </w:r>
      </w:hyperlink>
      <w:r w:rsidR="0002523E">
        <w:rPr>
          <w:rFonts w:asciiTheme="minorHAnsi" w:hAnsiTheme="minorHAnsi" w:cstheme="minorHAnsi"/>
        </w:rPr>
        <w:t xml:space="preserve">.  </w:t>
      </w:r>
    </w:p>
    <w:p w:rsidR="00B57AAC" w:rsidRDefault="00B57AAC" w:rsidP="0002523E">
      <w:pPr>
        <w:pStyle w:val="PlainText"/>
        <w:jc w:val="both"/>
        <w:rPr>
          <w:rFonts w:asciiTheme="minorHAnsi" w:hAnsiTheme="minorHAnsi" w:cstheme="minorHAnsi"/>
        </w:rPr>
      </w:pPr>
    </w:p>
    <w:p w:rsidR="00B57AAC" w:rsidRDefault="00F47D15" w:rsidP="0002523E">
      <w:pPr>
        <w:pStyle w:val="PlainText"/>
        <w:jc w:val="both"/>
        <w:rPr>
          <w:rFonts w:asciiTheme="minorHAnsi" w:hAnsiTheme="minorHAnsi" w:cstheme="minorHAnsi"/>
        </w:rPr>
      </w:pPr>
      <w:r>
        <w:rPr>
          <w:rFonts w:asciiTheme="minorHAnsi" w:hAnsiTheme="minorHAnsi" w:cstheme="minorHAnsi"/>
        </w:rPr>
        <w:t>Mouse Genetics Project d</w:t>
      </w:r>
      <w:r w:rsidR="00B57AAC">
        <w:rPr>
          <w:rFonts w:asciiTheme="minorHAnsi" w:hAnsiTheme="minorHAnsi" w:cstheme="minorHAnsi"/>
        </w:rPr>
        <w:t xml:space="preserve">ata which has passed </w:t>
      </w:r>
      <w:r>
        <w:rPr>
          <w:rFonts w:asciiTheme="minorHAnsi" w:hAnsiTheme="minorHAnsi" w:cstheme="minorHAnsi"/>
        </w:rPr>
        <w:t xml:space="preserve">all necessary </w:t>
      </w:r>
      <w:r w:rsidR="00B57AAC">
        <w:rPr>
          <w:rFonts w:asciiTheme="minorHAnsi" w:hAnsiTheme="minorHAnsi" w:cstheme="minorHAnsi"/>
        </w:rPr>
        <w:t xml:space="preserve">internal quality control checks is </w:t>
      </w:r>
      <w:r>
        <w:rPr>
          <w:rFonts w:asciiTheme="minorHAnsi" w:hAnsiTheme="minorHAnsi" w:cstheme="minorHAnsi"/>
        </w:rPr>
        <w:t xml:space="preserve">automatically </w:t>
      </w:r>
      <w:r w:rsidR="00B57AAC">
        <w:rPr>
          <w:rFonts w:asciiTheme="minorHAnsi" w:hAnsiTheme="minorHAnsi" w:cstheme="minorHAnsi"/>
        </w:rPr>
        <w:t xml:space="preserve">published to this </w:t>
      </w:r>
      <w:proofErr w:type="spellStart"/>
      <w:r w:rsidR="00B57AAC">
        <w:rPr>
          <w:rFonts w:asciiTheme="minorHAnsi" w:hAnsiTheme="minorHAnsi" w:cstheme="minorHAnsi"/>
        </w:rPr>
        <w:t>BioMart</w:t>
      </w:r>
      <w:proofErr w:type="spellEnd"/>
      <w:r w:rsidR="00B57AAC">
        <w:rPr>
          <w:rFonts w:asciiTheme="minorHAnsi" w:hAnsiTheme="minorHAnsi" w:cstheme="minorHAnsi"/>
        </w:rPr>
        <w:t xml:space="preserve"> within 24 hours.</w:t>
      </w:r>
    </w:p>
    <w:p w:rsidR="00B57AAC" w:rsidRDefault="00B57AAC" w:rsidP="0002523E">
      <w:pPr>
        <w:pStyle w:val="PlainText"/>
        <w:jc w:val="both"/>
        <w:rPr>
          <w:rFonts w:asciiTheme="minorHAnsi" w:hAnsiTheme="minorHAnsi" w:cstheme="minorHAnsi"/>
        </w:rPr>
      </w:pPr>
    </w:p>
    <w:p w:rsidR="00F47D15" w:rsidRDefault="00F47D15" w:rsidP="00F47D15">
      <w:pPr>
        <w:pStyle w:val="PlainText"/>
        <w:jc w:val="both"/>
        <w:rPr>
          <w:rFonts w:asciiTheme="minorHAnsi" w:hAnsiTheme="minorHAnsi" w:cstheme="minorHAnsi"/>
        </w:rPr>
      </w:pPr>
      <w:r w:rsidRPr="0002523E">
        <w:rPr>
          <w:rFonts w:asciiTheme="minorHAnsi" w:hAnsiTheme="minorHAnsi" w:cstheme="minorHAnsi"/>
        </w:rPr>
        <w:t>As of December 2</w:t>
      </w:r>
      <w:r>
        <w:rPr>
          <w:rFonts w:asciiTheme="minorHAnsi" w:hAnsiTheme="minorHAnsi" w:cstheme="minorHAnsi"/>
        </w:rPr>
        <w:t xml:space="preserve">011 this data set comprises approximately </w:t>
      </w:r>
      <w:r w:rsidRPr="00B57AAC">
        <w:rPr>
          <w:rFonts w:asciiTheme="minorHAnsi" w:hAnsiTheme="minorHAnsi" w:cstheme="minorHAnsi"/>
        </w:rPr>
        <w:t>9 x 10</w:t>
      </w:r>
      <w:r w:rsidRPr="00B57AAC">
        <w:rPr>
          <w:rFonts w:asciiTheme="minorHAnsi" w:hAnsiTheme="minorHAnsi" w:cstheme="minorHAnsi"/>
          <w:vertAlign w:val="superscript"/>
        </w:rPr>
        <w:t>6</w:t>
      </w:r>
      <w:r w:rsidRPr="00B57AAC">
        <w:rPr>
          <w:rFonts w:asciiTheme="minorHAnsi" w:hAnsiTheme="minorHAnsi" w:cstheme="minorHAnsi"/>
        </w:rPr>
        <w:t xml:space="preserve"> </w:t>
      </w:r>
      <w:r w:rsidRPr="0002523E">
        <w:rPr>
          <w:rFonts w:asciiTheme="minorHAnsi" w:hAnsiTheme="minorHAnsi" w:cstheme="minorHAnsi"/>
        </w:rPr>
        <w:t xml:space="preserve">data points and hence it is not recommended that </w:t>
      </w:r>
      <w:r>
        <w:rPr>
          <w:rFonts w:asciiTheme="minorHAnsi" w:hAnsiTheme="minorHAnsi" w:cstheme="minorHAnsi"/>
        </w:rPr>
        <w:t>users attempt to extract all data in one bolus</w:t>
      </w:r>
      <w:r w:rsidRPr="0002523E">
        <w:rPr>
          <w:rFonts w:asciiTheme="minorHAnsi" w:hAnsiTheme="minorHAnsi" w:cstheme="minorHAnsi"/>
        </w:rPr>
        <w:t>.  Rather</w:t>
      </w:r>
      <w:r>
        <w:rPr>
          <w:rFonts w:asciiTheme="minorHAnsi" w:hAnsiTheme="minorHAnsi" w:cstheme="minorHAnsi"/>
        </w:rPr>
        <w:t>,</w:t>
      </w:r>
      <w:r w:rsidRPr="0002523E">
        <w:rPr>
          <w:rFonts w:asciiTheme="minorHAnsi" w:hAnsiTheme="minorHAnsi" w:cstheme="minorHAnsi"/>
        </w:rPr>
        <w:t xml:space="preserve"> the </w:t>
      </w:r>
      <w:r>
        <w:rPr>
          <w:rFonts w:asciiTheme="minorHAnsi" w:hAnsiTheme="minorHAnsi" w:cstheme="minorHAnsi"/>
        </w:rPr>
        <w:t xml:space="preserve">query made to the </w:t>
      </w:r>
      <w:proofErr w:type="spellStart"/>
      <w:r>
        <w:rPr>
          <w:rFonts w:asciiTheme="minorHAnsi" w:hAnsiTheme="minorHAnsi" w:cstheme="minorHAnsi"/>
        </w:rPr>
        <w:t>BioMart</w:t>
      </w:r>
      <w:proofErr w:type="spellEnd"/>
      <w:r w:rsidRPr="0002523E">
        <w:rPr>
          <w:rFonts w:asciiTheme="minorHAnsi" w:hAnsiTheme="minorHAnsi" w:cstheme="minorHAnsi"/>
        </w:rPr>
        <w:t xml:space="preserve"> should be </w:t>
      </w:r>
      <w:r>
        <w:rPr>
          <w:rFonts w:asciiTheme="minorHAnsi" w:hAnsiTheme="minorHAnsi" w:cstheme="minorHAnsi"/>
        </w:rPr>
        <w:t>carefully phrased to extract only the data pertinent to answering your specific scientific question.</w:t>
      </w:r>
    </w:p>
    <w:p w:rsidR="00F47D15" w:rsidRDefault="00F47D15" w:rsidP="0002523E">
      <w:pPr>
        <w:pStyle w:val="PlainText"/>
        <w:jc w:val="both"/>
        <w:rPr>
          <w:rFonts w:asciiTheme="minorHAnsi" w:hAnsiTheme="minorHAnsi" w:cstheme="minorHAnsi"/>
        </w:rPr>
      </w:pPr>
    </w:p>
    <w:p w:rsidR="00B57AAC" w:rsidRDefault="00B57AAC" w:rsidP="00B57AAC">
      <w:pPr>
        <w:pStyle w:val="PlainText"/>
        <w:jc w:val="both"/>
        <w:rPr>
          <w:rFonts w:asciiTheme="minorHAnsi" w:hAnsiTheme="minorHAnsi" w:cstheme="minorHAnsi"/>
        </w:rPr>
      </w:pPr>
      <w:r>
        <w:rPr>
          <w:rFonts w:asciiTheme="minorHAnsi" w:hAnsiTheme="minorHAnsi" w:cstheme="minorHAnsi"/>
        </w:rPr>
        <w:t>Below is a step-</w:t>
      </w:r>
      <w:r w:rsidR="0002523E" w:rsidRPr="0002523E">
        <w:rPr>
          <w:rFonts w:asciiTheme="minorHAnsi" w:hAnsiTheme="minorHAnsi" w:cstheme="minorHAnsi"/>
        </w:rPr>
        <w:t xml:space="preserve">wise example of how to extract the </w:t>
      </w:r>
      <w:r w:rsidR="00B13236">
        <w:rPr>
          <w:rFonts w:asciiTheme="minorHAnsi" w:hAnsiTheme="minorHAnsi" w:cstheme="minorHAnsi"/>
        </w:rPr>
        <w:t>data</w:t>
      </w:r>
      <w:r>
        <w:rPr>
          <w:rFonts w:asciiTheme="minorHAnsi" w:hAnsiTheme="minorHAnsi" w:cstheme="minorHAnsi"/>
        </w:rPr>
        <w:t xml:space="preserve"> using the standard </w:t>
      </w:r>
      <w:proofErr w:type="spellStart"/>
      <w:r>
        <w:rPr>
          <w:rFonts w:asciiTheme="minorHAnsi" w:hAnsiTheme="minorHAnsi" w:cstheme="minorHAnsi"/>
        </w:rPr>
        <w:t>BioMart</w:t>
      </w:r>
      <w:proofErr w:type="spellEnd"/>
      <w:r>
        <w:rPr>
          <w:rFonts w:asciiTheme="minorHAnsi" w:hAnsiTheme="minorHAnsi" w:cstheme="minorHAnsi"/>
        </w:rPr>
        <w:t xml:space="preserve"> user interface</w:t>
      </w:r>
      <w:r w:rsidR="0002523E" w:rsidRPr="0002523E">
        <w:rPr>
          <w:rFonts w:asciiTheme="minorHAnsi" w:hAnsiTheme="minorHAnsi" w:cstheme="minorHAnsi"/>
        </w:rPr>
        <w:t xml:space="preserve">.  Further information on </w:t>
      </w:r>
      <w:r w:rsidR="00F47D15">
        <w:rPr>
          <w:rFonts w:asciiTheme="minorHAnsi" w:hAnsiTheme="minorHAnsi" w:cstheme="minorHAnsi"/>
        </w:rPr>
        <w:t>using</w:t>
      </w:r>
      <w:r>
        <w:rPr>
          <w:rFonts w:asciiTheme="minorHAnsi" w:hAnsiTheme="minorHAnsi" w:cstheme="minorHAnsi"/>
        </w:rPr>
        <w:t xml:space="preserve"> a </w:t>
      </w:r>
      <w:proofErr w:type="spellStart"/>
      <w:r>
        <w:rPr>
          <w:rFonts w:asciiTheme="minorHAnsi" w:hAnsiTheme="minorHAnsi" w:cstheme="minorHAnsi"/>
        </w:rPr>
        <w:t>BioMart</w:t>
      </w:r>
      <w:proofErr w:type="spellEnd"/>
      <w:r>
        <w:rPr>
          <w:rFonts w:asciiTheme="minorHAnsi" w:hAnsiTheme="minorHAnsi" w:cstheme="minorHAnsi"/>
        </w:rPr>
        <w:t xml:space="preserve"> can be found at:</w:t>
      </w:r>
    </w:p>
    <w:p w:rsidR="006F2715" w:rsidRDefault="00070807" w:rsidP="00B57AAC">
      <w:pPr>
        <w:pStyle w:val="PlainText"/>
        <w:jc w:val="both"/>
      </w:pPr>
      <w:hyperlink r:id="rId10" w:history="1">
        <w:r w:rsidR="00E40096" w:rsidRPr="00B57AAC">
          <w:rPr>
            <w:rStyle w:val="Hyperlink"/>
            <w:rFonts w:asciiTheme="minorHAnsi" w:hAnsiTheme="minorHAnsi" w:cstheme="minorHAnsi"/>
          </w:rPr>
          <w:t>http://bowtie-bio.sourceforge.net/recount/biomaRt.pdf</w:t>
        </w:r>
      </w:hyperlink>
      <w:r w:rsidR="0002523E">
        <w:rPr>
          <w:rFonts w:asciiTheme="minorHAnsi" w:hAnsiTheme="minorHAnsi" w:cstheme="minorHAnsi"/>
        </w:rPr>
        <w:t xml:space="preserve">. </w:t>
      </w:r>
    </w:p>
    <w:p w:rsidR="006F2715" w:rsidRDefault="006F2715" w:rsidP="006F2715">
      <w:pPr>
        <w:pStyle w:val="PlainText"/>
      </w:pPr>
    </w:p>
    <w:p w:rsidR="00F47D15" w:rsidRPr="00F47D15" w:rsidRDefault="00F47D15" w:rsidP="006F2715">
      <w:pPr>
        <w:pStyle w:val="PlainText"/>
        <w:rPr>
          <w:b/>
        </w:rPr>
      </w:pPr>
      <w:r w:rsidRPr="00F47D15">
        <w:rPr>
          <w:b/>
        </w:rPr>
        <w:t>Demonstration Example</w:t>
      </w:r>
    </w:p>
    <w:p w:rsidR="006F2715" w:rsidRDefault="0002523E" w:rsidP="006F2715">
      <w:pPr>
        <w:pStyle w:val="PlainText"/>
      </w:pPr>
      <w:r>
        <w:t>The following example</w:t>
      </w:r>
      <w:r w:rsidR="00B13236">
        <w:t>,</w:t>
      </w:r>
      <w:r>
        <w:t xml:space="preserve"> demonstrates the extracti</w:t>
      </w:r>
      <w:r w:rsidR="00B13236">
        <w:t>on of data associated with the M</w:t>
      </w:r>
      <w:r>
        <w:t xml:space="preserve">ysm1 knockout line. </w:t>
      </w:r>
    </w:p>
    <w:p w:rsidR="0002523E" w:rsidRDefault="0002523E" w:rsidP="006F2715">
      <w:pPr>
        <w:pStyle w:val="PlainText"/>
      </w:pPr>
    </w:p>
    <w:p w:rsidR="0002523E" w:rsidRDefault="00F47D15" w:rsidP="006F2715">
      <w:pPr>
        <w:pStyle w:val="PlainText"/>
      </w:pPr>
      <w:r>
        <w:t xml:space="preserve">1.  Open the </w:t>
      </w:r>
      <w:proofErr w:type="spellStart"/>
      <w:r>
        <w:t>BioMart</w:t>
      </w:r>
      <w:proofErr w:type="spellEnd"/>
      <w:r w:rsidR="0002523E">
        <w:t xml:space="preserve"> by following the link: </w:t>
      </w:r>
      <w:hyperlink r:id="rId11" w:history="1">
        <w:r w:rsidR="0002523E" w:rsidRPr="0002523E">
          <w:rPr>
            <w:rStyle w:val="Hyperlink"/>
            <w:rFonts w:asciiTheme="minorHAnsi" w:hAnsiTheme="minorHAnsi" w:cstheme="minorHAnsi"/>
          </w:rPr>
          <w:t>http://www.sanger.ac.uk/htgt/biomart</w:t>
        </w:r>
      </w:hyperlink>
      <w:r w:rsidR="0002523E">
        <w:rPr>
          <w:rFonts w:asciiTheme="minorHAnsi" w:hAnsiTheme="minorHAnsi" w:cstheme="minorHAnsi"/>
        </w:rPr>
        <w:t>.</w:t>
      </w:r>
    </w:p>
    <w:p w:rsidR="006F2715" w:rsidRDefault="006F2715" w:rsidP="006F2715">
      <w:pPr>
        <w:pStyle w:val="PlainText"/>
      </w:pPr>
    </w:p>
    <w:p w:rsidR="0002523E" w:rsidRDefault="0002523E" w:rsidP="006F2715">
      <w:pPr>
        <w:pStyle w:val="PlainText"/>
      </w:pPr>
      <w:r>
        <w:t>2.  Select “WTSI Mouse Genetics Project (Sanger UK) as the database (as shown below).</w:t>
      </w:r>
    </w:p>
    <w:p w:rsidR="0002523E" w:rsidRDefault="0002523E" w:rsidP="006F2715">
      <w:pPr>
        <w:pStyle w:val="PlainText"/>
      </w:pPr>
    </w:p>
    <w:p w:rsidR="0002523E" w:rsidRDefault="0002523E" w:rsidP="006F2715">
      <w:pPr>
        <w:pStyle w:val="PlainText"/>
      </w:pPr>
      <w:r>
        <w:rPr>
          <w:noProof/>
          <w:lang w:val="en-US"/>
        </w:rPr>
        <w:drawing>
          <wp:inline distT="0" distB="0" distL="0" distR="0" wp14:anchorId="68F0A140" wp14:editId="6153F6C1">
            <wp:extent cx="5731510" cy="2105228"/>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105228"/>
                    </a:xfrm>
                    <a:prstGeom prst="rect">
                      <a:avLst/>
                    </a:prstGeom>
                  </pic:spPr>
                </pic:pic>
              </a:graphicData>
            </a:graphic>
          </wp:inline>
        </w:drawing>
      </w:r>
    </w:p>
    <w:p w:rsidR="0002523E" w:rsidRDefault="0002523E" w:rsidP="006F2715">
      <w:pPr>
        <w:pStyle w:val="PlainText"/>
      </w:pPr>
    </w:p>
    <w:p w:rsidR="0002523E" w:rsidRDefault="0002523E" w:rsidP="006F2715">
      <w:pPr>
        <w:pStyle w:val="PlainText"/>
      </w:pPr>
      <w:r>
        <w:t>3.  Select “MGP phenotyping</w:t>
      </w:r>
      <w:r w:rsidR="00F47D15">
        <w:t>”</w:t>
      </w:r>
      <w:r>
        <w:t xml:space="preserve"> as the dataset (as shown below).</w:t>
      </w:r>
    </w:p>
    <w:p w:rsidR="0002523E" w:rsidRDefault="0002523E" w:rsidP="006F2715">
      <w:pPr>
        <w:pStyle w:val="PlainText"/>
      </w:pPr>
    </w:p>
    <w:p w:rsidR="0002523E" w:rsidRDefault="0002523E" w:rsidP="006F2715">
      <w:pPr>
        <w:pStyle w:val="PlainText"/>
      </w:pPr>
      <w:r>
        <w:rPr>
          <w:noProof/>
          <w:lang w:val="en-US"/>
        </w:rPr>
        <w:lastRenderedPageBreak/>
        <w:drawing>
          <wp:inline distT="0" distB="0" distL="0" distR="0" wp14:anchorId="30923431" wp14:editId="4DBC9F99">
            <wp:extent cx="5731510" cy="280023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800235"/>
                    </a:xfrm>
                    <a:prstGeom prst="rect">
                      <a:avLst/>
                    </a:prstGeom>
                  </pic:spPr>
                </pic:pic>
              </a:graphicData>
            </a:graphic>
          </wp:inline>
        </w:drawing>
      </w:r>
    </w:p>
    <w:p w:rsidR="006F2715" w:rsidRDefault="006F2715" w:rsidP="006F2715">
      <w:pPr>
        <w:pStyle w:val="PlainText"/>
      </w:pPr>
    </w:p>
    <w:p w:rsidR="0002523E" w:rsidRDefault="0002523E" w:rsidP="006F2715">
      <w:pPr>
        <w:pStyle w:val="PlainText"/>
      </w:pPr>
    </w:p>
    <w:p w:rsidR="0002523E" w:rsidRDefault="0002523E" w:rsidP="006F2715">
      <w:pPr>
        <w:pStyle w:val="PlainText"/>
      </w:pPr>
      <w:r>
        <w:t xml:space="preserve">4.  Click on the Attribute link on the left (as shown below). </w:t>
      </w:r>
    </w:p>
    <w:p w:rsidR="0002523E" w:rsidRDefault="0002523E" w:rsidP="006F2715">
      <w:pPr>
        <w:pStyle w:val="PlainText"/>
      </w:pPr>
    </w:p>
    <w:p w:rsidR="0002523E" w:rsidRDefault="0002523E" w:rsidP="006F2715">
      <w:pPr>
        <w:pStyle w:val="PlainText"/>
      </w:pPr>
      <w:r>
        <w:rPr>
          <w:noProof/>
          <w:lang w:val="en-US"/>
        </w:rPr>
        <w:drawing>
          <wp:inline distT="0" distB="0" distL="0" distR="0" wp14:anchorId="1A01EF26" wp14:editId="574042FE">
            <wp:extent cx="2940917" cy="218750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40550" cy="2187228"/>
                    </a:xfrm>
                    <a:prstGeom prst="rect">
                      <a:avLst/>
                    </a:prstGeom>
                  </pic:spPr>
                </pic:pic>
              </a:graphicData>
            </a:graphic>
          </wp:inline>
        </w:drawing>
      </w:r>
    </w:p>
    <w:p w:rsidR="00F47D15" w:rsidRDefault="00F47D15" w:rsidP="006F2715">
      <w:pPr>
        <w:pStyle w:val="PlainText"/>
      </w:pPr>
    </w:p>
    <w:p w:rsidR="00F47D15" w:rsidRDefault="00F47D15">
      <w:pPr>
        <w:rPr>
          <w:rFonts w:ascii="Calibri" w:hAnsi="Calibri"/>
          <w:szCs w:val="21"/>
        </w:rPr>
      </w:pPr>
      <w:r>
        <w:br w:type="page"/>
      </w:r>
    </w:p>
    <w:p w:rsidR="0002523E" w:rsidRDefault="0002523E" w:rsidP="006F2715">
      <w:pPr>
        <w:pStyle w:val="PlainText"/>
      </w:pPr>
      <w:r>
        <w:lastRenderedPageBreak/>
        <w:t>5.  Select Published Graph Data (as shown below).</w:t>
      </w:r>
    </w:p>
    <w:p w:rsidR="0002523E" w:rsidRDefault="0002523E" w:rsidP="006F2715">
      <w:pPr>
        <w:pStyle w:val="PlainText"/>
      </w:pPr>
      <w:r>
        <w:rPr>
          <w:noProof/>
          <w:lang w:val="en-US"/>
        </w:rPr>
        <w:drawing>
          <wp:inline distT="0" distB="0" distL="0" distR="0" wp14:anchorId="476B8447" wp14:editId="6FAA1B99">
            <wp:extent cx="5731510" cy="4702165"/>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4702165"/>
                    </a:xfrm>
                    <a:prstGeom prst="rect">
                      <a:avLst/>
                    </a:prstGeom>
                  </pic:spPr>
                </pic:pic>
              </a:graphicData>
            </a:graphic>
          </wp:inline>
        </w:drawing>
      </w:r>
    </w:p>
    <w:p w:rsidR="00F03137" w:rsidRDefault="00F03137" w:rsidP="001C446E">
      <w:pPr>
        <w:pStyle w:val="PlainText"/>
      </w:pPr>
    </w:p>
    <w:p w:rsidR="00F03137" w:rsidRDefault="00F03137" w:rsidP="006F2715">
      <w:pPr>
        <w:pStyle w:val="PlainText"/>
      </w:pPr>
    </w:p>
    <w:p w:rsidR="00F47D15" w:rsidRDefault="00F47D15">
      <w:pPr>
        <w:rPr>
          <w:rFonts w:ascii="Calibri" w:hAnsi="Calibri"/>
          <w:szCs w:val="21"/>
        </w:rPr>
      </w:pPr>
      <w:r>
        <w:br w:type="page"/>
      </w:r>
    </w:p>
    <w:p w:rsidR="00966257" w:rsidRDefault="001C446E" w:rsidP="00F47D15">
      <w:pPr>
        <w:pStyle w:val="PlainText"/>
      </w:pPr>
      <w:r>
        <w:lastRenderedPageBreak/>
        <w:t>6</w:t>
      </w:r>
      <w:r w:rsidR="00F03137">
        <w:t>.  Now click on Filters to access a d</w:t>
      </w:r>
      <w:r w:rsidR="00C1722F">
        <w:t>ialog box to restrict the query</w:t>
      </w:r>
      <w:r w:rsidR="00F03137">
        <w:t xml:space="preserve"> (as shown below).</w:t>
      </w:r>
    </w:p>
    <w:p w:rsidR="0002523E" w:rsidRDefault="00F03137">
      <w:r>
        <w:rPr>
          <w:noProof/>
          <w:lang w:val="en-US"/>
        </w:rPr>
        <w:drawing>
          <wp:inline distT="0" distB="0" distL="0" distR="0" wp14:anchorId="1C3F7B9E" wp14:editId="24415DE6">
            <wp:extent cx="4892580" cy="3290993"/>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89539" cy="3288948"/>
                    </a:xfrm>
                    <a:prstGeom prst="rect">
                      <a:avLst/>
                    </a:prstGeom>
                  </pic:spPr>
                </pic:pic>
              </a:graphicData>
            </a:graphic>
          </wp:inline>
        </w:drawing>
      </w:r>
    </w:p>
    <w:p w:rsidR="00F03137" w:rsidRDefault="00F03137"/>
    <w:p w:rsidR="00F03137" w:rsidRDefault="001C446E">
      <w:r>
        <w:t xml:space="preserve"> 7</w:t>
      </w:r>
      <w:r w:rsidR="00F03137">
        <w:t>.</w:t>
      </w:r>
      <w:r w:rsidR="00C1722F">
        <w:t xml:space="preserve"> </w:t>
      </w:r>
      <w:r w:rsidR="00F03137">
        <w:t>We can filter</w:t>
      </w:r>
      <w:r>
        <w:t xml:space="preserve"> the data by a gene name e.g</w:t>
      </w:r>
      <w:proofErr w:type="gramStart"/>
      <w:r>
        <w:t>.  M</w:t>
      </w:r>
      <w:r w:rsidR="00F03137">
        <w:t>ysm1</w:t>
      </w:r>
      <w:proofErr w:type="gramEnd"/>
      <w:r w:rsidR="00F03137">
        <w:t xml:space="preserve"> (a</w:t>
      </w:r>
      <w:r>
        <w:t>.</w:t>
      </w:r>
      <w:r w:rsidR="00F03137">
        <w:t>k</w:t>
      </w:r>
      <w:r>
        <w:t>.</w:t>
      </w:r>
      <w:r w:rsidR="00F03137">
        <w:t>a</w:t>
      </w:r>
      <w:r>
        <w:t>.</w:t>
      </w:r>
      <w:r w:rsidR="00C1722F">
        <w:t xml:space="preserve"> Marker symbol) (</w:t>
      </w:r>
      <w:r w:rsidR="00F03137">
        <w:t>as shown below).</w:t>
      </w:r>
      <w:r w:rsidR="00E40096">
        <w:rPr>
          <w:noProof/>
          <w:lang w:val="en-US"/>
        </w:rPr>
        <w:drawing>
          <wp:inline distT="0" distB="0" distL="0" distR="0" wp14:anchorId="3E732A0D" wp14:editId="6320FDDA">
            <wp:extent cx="5610225" cy="337512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10291" cy="3375166"/>
                    </a:xfrm>
                    <a:prstGeom prst="rect">
                      <a:avLst/>
                    </a:prstGeom>
                  </pic:spPr>
                </pic:pic>
              </a:graphicData>
            </a:graphic>
          </wp:inline>
        </w:drawing>
      </w:r>
    </w:p>
    <w:p w:rsidR="001A4DBE" w:rsidRDefault="001A4DBE"/>
    <w:p w:rsidR="00F03137" w:rsidRDefault="001C446E">
      <w:r>
        <w:t>8</w:t>
      </w:r>
      <w:r w:rsidR="00F03137">
        <w:t xml:space="preserve">. Click on the Results button (as shown below) to filter as specified. </w:t>
      </w:r>
    </w:p>
    <w:p w:rsidR="00F03137" w:rsidRDefault="00070807" w:rsidP="00C1722F">
      <w:pPr>
        <w:jc w:val="both"/>
      </w:pPr>
      <w:r>
        <w:pict>
          <v:shape id="Picture 9" o:spid="_x0000_i1026" type="#_x0000_t75" style="width:17.4pt;height:15pt;flip:x;visibility:visible;mso-wrap-style:square">
            <v:imagedata r:id="rId18" o:title=""/>
          </v:shape>
        </w:pict>
      </w:r>
      <w:r w:rsidR="00C1722F">
        <w:t xml:space="preserve"> </w:t>
      </w:r>
      <w:r w:rsidR="00E40096">
        <w:t xml:space="preserve">Note if the program is running for a long time and no results appear, it is likely you have asked for too big a slice of the data in one </w:t>
      </w:r>
      <w:r w:rsidR="001A4DBE">
        <w:t>query</w:t>
      </w:r>
      <w:r w:rsidR="00E40096">
        <w:t xml:space="preserve">.  </w:t>
      </w:r>
      <w:r w:rsidR="00232A62">
        <w:t xml:space="preserve">Please close and reconsidered your filters. A poorly </w:t>
      </w:r>
      <w:r w:rsidR="00232A62">
        <w:lastRenderedPageBreak/>
        <w:t xml:space="preserve">formulated query can cause so much data to be sent to your computer that the web browser (and potentially your computer) will become overwhelmed and stop responding. It should also be noted that the volume of data available through this interface is roughly two orders of magnitude greater that supported by Excel. As such careful </w:t>
      </w:r>
      <w:r w:rsidR="00B57AAC">
        <w:t>pre-planning of queries is advised.</w:t>
      </w:r>
    </w:p>
    <w:p w:rsidR="00E40096" w:rsidRDefault="00E40096">
      <w:r>
        <w:rPr>
          <w:noProof/>
          <w:lang w:val="en-US"/>
        </w:rPr>
        <w:drawing>
          <wp:inline distT="0" distB="0" distL="0" distR="0" wp14:anchorId="0B5CF74A" wp14:editId="502B4214">
            <wp:extent cx="5731510" cy="3203767"/>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203767"/>
                    </a:xfrm>
                    <a:prstGeom prst="rect">
                      <a:avLst/>
                    </a:prstGeom>
                  </pic:spPr>
                </pic:pic>
              </a:graphicData>
            </a:graphic>
          </wp:inline>
        </w:drawing>
      </w:r>
    </w:p>
    <w:p w:rsidR="00B13236" w:rsidRDefault="001C446E">
      <w:r>
        <w:t>9</w:t>
      </w:r>
      <w:r w:rsidR="00F03137">
        <w:t xml:space="preserve">.   </w:t>
      </w:r>
      <w:r w:rsidR="00B13236">
        <w:t>Edit the number o</w:t>
      </w:r>
      <w:r w:rsidR="00B57AAC">
        <w:t>f rows shown to view the data (</w:t>
      </w:r>
      <w:r w:rsidR="00B13236">
        <w:t>as shown below).</w:t>
      </w:r>
    </w:p>
    <w:p w:rsidR="00F03137" w:rsidRDefault="00E40096">
      <w:r>
        <w:rPr>
          <w:noProof/>
          <w:lang w:val="en-US"/>
        </w:rPr>
        <w:drawing>
          <wp:inline distT="0" distB="0" distL="0" distR="0" wp14:anchorId="2C54D090" wp14:editId="3F021691">
            <wp:extent cx="5731510" cy="2930051"/>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930051"/>
                    </a:xfrm>
                    <a:prstGeom prst="rect">
                      <a:avLst/>
                    </a:prstGeom>
                  </pic:spPr>
                </pic:pic>
              </a:graphicData>
            </a:graphic>
          </wp:inline>
        </w:drawing>
      </w:r>
    </w:p>
    <w:p w:rsidR="00B13236" w:rsidRDefault="00B13236"/>
    <w:p w:rsidR="00B13236" w:rsidRDefault="001C446E" w:rsidP="00C1722F">
      <w:pPr>
        <w:jc w:val="both"/>
      </w:pPr>
      <w:r>
        <w:t>10</w:t>
      </w:r>
      <w:r w:rsidR="00B13236">
        <w:t xml:space="preserve">. </w:t>
      </w:r>
      <w:r w:rsidR="00E40096">
        <w:t>Scroll down the dataset.  Empty rows can appear at the top if entries in the database have the correct colony prefix but no information to populate the remaining columns of the table.</w:t>
      </w:r>
      <w:r>
        <w:t xml:space="preserve"> This is a limitation of the </w:t>
      </w:r>
      <w:proofErr w:type="spellStart"/>
      <w:r>
        <w:t>BioMart</w:t>
      </w:r>
      <w:proofErr w:type="spellEnd"/>
      <w:r>
        <w:t xml:space="preserve"> system and, while inelegant, does not present a challenge to the analysis of the data.</w:t>
      </w:r>
    </w:p>
    <w:p w:rsidR="006D25E9" w:rsidRDefault="00070807" w:rsidP="00C1722F">
      <w:pPr>
        <w:jc w:val="both"/>
      </w:pPr>
      <w:r>
        <w:lastRenderedPageBreak/>
        <w:pict>
          <v:shape id="Picture 7" o:spid="_x0000_i1027" type="#_x0000_t75" style="width:17.4pt;height:15pt;flip:x;visibility:visible;mso-wrap-style:square">
            <v:imagedata r:id="rId21" o:title=""/>
          </v:shape>
        </w:pict>
      </w:r>
      <w:r w:rsidR="00C1722F">
        <w:t xml:space="preserve"> </w:t>
      </w:r>
      <w:r w:rsidR="001C446E">
        <w:t xml:space="preserve">You may notice large numbers of digits appearing after a decimal place in </w:t>
      </w:r>
      <w:r w:rsidR="006D25E9">
        <w:t>the values displayed in</w:t>
      </w:r>
      <w:r w:rsidR="001C446E">
        <w:t xml:space="preserve"> X or Y </w:t>
      </w:r>
      <w:r w:rsidR="006D25E9">
        <w:t xml:space="preserve">value </w:t>
      </w:r>
      <w:r w:rsidR="001C446E">
        <w:t xml:space="preserve">columns. </w:t>
      </w:r>
      <w:r w:rsidR="006D25E9">
        <w:t>These are a result</w:t>
      </w:r>
      <w:r w:rsidR="001C446E">
        <w:t xml:space="preserve"> </w:t>
      </w:r>
      <w:r w:rsidR="006D25E9">
        <w:t xml:space="preserve">of displaying the numerical values at </w:t>
      </w:r>
      <w:r w:rsidR="00232A62">
        <w:t>the maximum</w:t>
      </w:r>
      <w:r w:rsidR="006D25E9">
        <w:t xml:space="preserve"> </w:t>
      </w:r>
      <w:r w:rsidR="001A4DBE">
        <w:t xml:space="preserve">available </w:t>
      </w:r>
      <w:r w:rsidR="006D25E9">
        <w:t>computer precision.</w:t>
      </w:r>
      <w:r w:rsidR="001C446E">
        <w:t xml:space="preserve"> </w:t>
      </w:r>
      <w:r w:rsidR="006D25E9">
        <w:t xml:space="preserve">NB. </w:t>
      </w:r>
      <w:r w:rsidR="001A4DBE">
        <w:t>Software, such as E</w:t>
      </w:r>
      <w:r w:rsidR="001C446E">
        <w:t>xcel</w:t>
      </w:r>
      <w:r w:rsidR="001A4DBE">
        <w:t>,</w:t>
      </w:r>
      <w:r w:rsidR="001C446E">
        <w:t xml:space="preserve"> </w:t>
      </w:r>
      <w:r w:rsidR="001A4DBE">
        <w:t xml:space="preserve">also internally </w:t>
      </w:r>
      <w:r w:rsidR="00232A62">
        <w:t xml:space="preserve">store values in this format but </w:t>
      </w:r>
      <w:r w:rsidR="001C446E">
        <w:t xml:space="preserve">truncate </w:t>
      </w:r>
      <w:r w:rsidR="001A4DBE">
        <w:t>them</w:t>
      </w:r>
      <w:r w:rsidR="001C446E">
        <w:t xml:space="preserve"> before display</w:t>
      </w:r>
      <w:r w:rsidR="001A4DBE">
        <w:t>.</w:t>
      </w:r>
      <w:r w:rsidR="00C1722F">
        <w:t xml:space="preserve"> </w:t>
      </w:r>
      <w:r w:rsidR="001C446E">
        <w:t>To all</w:t>
      </w:r>
      <w:r w:rsidR="006D25E9">
        <w:t xml:space="preserve">ow for the significant differences in the numerical precision of different </w:t>
      </w:r>
      <w:r w:rsidR="00232A62">
        <w:t xml:space="preserve">assays </w:t>
      </w:r>
      <w:r w:rsidR="006D25E9">
        <w:t>we have</w:t>
      </w:r>
      <w:r w:rsidR="001A4DBE">
        <w:t xml:space="preserve"> not applied</w:t>
      </w:r>
      <w:r w:rsidR="006D25E9">
        <w:t xml:space="preserve"> truncation. Users</w:t>
      </w:r>
      <w:r w:rsidR="00232A62">
        <w:t xml:space="preserve"> requiring improved formatting should </w:t>
      </w:r>
      <w:r w:rsidR="006D25E9">
        <w:t xml:space="preserve">extract the data (see step 11) </w:t>
      </w:r>
      <w:r w:rsidR="00232A62">
        <w:t>and</w:t>
      </w:r>
      <w:r w:rsidR="006D25E9">
        <w:t xml:space="preserve"> use the number formatting capabilities within, for example, excel to choose th</w:t>
      </w:r>
      <w:r w:rsidR="00232A62">
        <w:t>eir desired reporting precision and format.</w:t>
      </w:r>
    </w:p>
    <w:p w:rsidR="00E40096" w:rsidRDefault="00E40096">
      <w:r>
        <w:rPr>
          <w:noProof/>
          <w:lang w:val="en-US"/>
        </w:rPr>
        <w:drawing>
          <wp:inline distT="0" distB="0" distL="0" distR="0" wp14:anchorId="6784B525" wp14:editId="692638A3">
            <wp:extent cx="5731510" cy="361954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619547"/>
                    </a:xfrm>
                    <a:prstGeom prst="rect">
                      <a:avLst/>
                    </a:prstGeom>
                  </pic:spPr>
                </pic:pic>
              </a:graphicData>
            </a:graphic>
          </wp:inline>
        </w:drawing>
      </w:r>
    </w:p>
    <w:p w:rsidR="00E40096" w:rsidRDefault="00E40096"/>
    <w:p w:rsidR="00E40096" w:rsidRDefault="001C446E">
      <w:r>
        <w:t>11</w:t>
      </w:r>
      <w:r w:rsidR="00E40096">
        <w:t>.  Results can be exported using the export facility (as shown below).</w:t>
      </w:r>
    </w:p>
    <w:p w:rsidR="00E40096" w:rsidRDefault="00E40096">
      <w:r>
        <w:rPr>
          <w:noProof/>
          <w:lang w:val="en-US"/>
        </w:rPr>
        <w:drawing>
          <wp:inline distT="0" distB="0" distL="0" distR="0" wp14:anchorId="39B12CFA" wp14:editId="3B68E451">
            <wp:extent cx="5731510" cy="1922138"/>
            <wp:effectExtent l="0" t="0" r="254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1922138"/>
                    </a:xfrm>
                    <a:prstGeom prst="rect">
                      <a:avLst/>
                    </a:prstGeom>
                  </pic:spPr>
                </pic:pic>
              </a:graphicData>
            </a:graphic>
          </wp:inline>
        </w:drawing>
      </w:r>
    </w:p>
    <w:sectPr w:rsidR="00E400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30" w:rsidRDefault="005E4330" w:rsidP="00F47D15">
      <w:pPr>
        <w:spacing w:after="0" w:line="240" w:lineRule="auto"/>
      </w:pPr>
      <w:r>
        <w:separator/>
      </w:r>
    </w:p>
  </w:endnote>
  <w:endnote w:type="continuationSeparator" w:id="0">
    <w:p w:rsidR="005E4330" w:rsidRDefault="005E4330" w:rsidP="00F4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30" w:rsidRDefault="005E4330" w:rsidP="00F47D15">
      <w:pPr>
        <w:spacing w:after="0" w:line="240" w:lineRule="auto"/>
      </w:pPr>
      <w:r>
        <w:separator/>
      </w:r>
    </w:p>
  </w:footnote>
  <w:footnote w:type="continuationSeparator" w:id="0">
    <w:p w:rsidR="005E4330" w:rsidRDefault="005E4330" w:rsidP="00F47D15">
      <w:pPr>
        <w:spacing w:after="0" w:line="240" w:lineRule="auto"/>
      </w:pPr>
      <w:r>
        <w:continuationSeparator/>
      </w:r>
    </w:p>
  </w:footnote>
  <w:footnote w:id="1">
    <w:p w:rsidR="00F47D15" w:rsidRDefault="00F47D15">
      <w:pPr>
        <w:pStyle w:val="FootnoteText"/>
      </w:pPr>
      <w:r>
        <w:rPr>
          <w:rStyle w:val="FootnoteReference"/>
        </w:rPr>
        <w:footnoteRef/>
      </w:r>
      <w:r>
        <w:t xml:space="preserve"> </w:t>
      </w:r>
      <w:proofErr w:type="spellStart"/>
      <w:r>
        <w:rPr>
          <w:rFonts w:cstheme="minorHAnsi"/>
        </w:rPr>
        <w:t>BioM</w:t>
      </w:r>
      <w:r w:rsidRPr="0002523E">
        <w:rPr>
          <w:rFonts w:cstheme="minorHAnsi"/>
        </w:rPr>
        <w:t>art</w:t>
      </w:r>
      <w:proofErr w:type="spellEnd"/>
      <w:r w:rsidRPr="0002523E">
        <w:rPr>
          <w:rFonts w:cstheme="minorHAnsi"/>
        </w:rPr>
        <w:t xml:space="preserve"> is a generic data </w:t>
      </w:r>
      <w:r>
        <w:rPr>
          <w:rFonts w:cstheme="minorHAnsi"/>
          <w:color w:val="000000"/>
          <w:lang w:val="en"/>
        </w:rPr>
        <w:t xml:space="preserve">management system </w:t>
      </w:r>
      <w:r w:rsidRPr="0002523E">
        <w:rPr>
          <w:rFonts w:cstheme="minorHAnsi"/>
          <w:color w:val="000000"/>
          <w:lang w:val="en"/>
        </w:rPr>
        <w:t>[</w:t>
      </w:r>
      <w:proofErr w:type="spellStart"/>
      <w:r w:rsidRPr="0002523E">
        <w:rPr>
          <w:rFonts w:cstheme="minorHAnsi"/>
        </w:rPr>
        <w:t>Smedley</w:t>
      </w:r>
      <w:proofErr w:type="spellEnd"/>
      <w:r w:rsidRPr="0002523E">
        <w:rPr>
          <w:rFonts w:cstheme="minorHAnsi"/>
        </w:rPr>
        <w:t xml:space="preserve"> </w:t>
      </w:r>
      <w:r w:rsidRPr="0002523E">
        <w:rPr>
          <w:rFonts w:cstheme="minorHAnsi"/>
          <w:i/>
        </w:rPr>
        <w:t>et al</w:t>
      </w:r>
      <w:r w:rsidRPr="0002523E">
        <w:rPr>
          <w:rFonts w:cstheme="minorHAnsi"/>
        </w:rPr>
        <w:t xml:space="preserve"> “</w:t>
      </w:r>
      <w:proofErr w:type="spellStart"/>
      <w:r w:rsidRPr="0002523E">
        <w:rPr>
          <w:rFonts w:cstheme="minorHAnsi"/>
        </w:rPr>
        <w:t>BioMart</w:t>
      </w:r>
      <w:proofErr w:type="spellEnd"/>
      <w:r w:rsidRPr="0002523E">
        <w:rPr>
          <w:rFonts w:cstheme="minorHAnsi"/>
        </w:rPr>
        <w:t xml:space="preserve"> – biological queries made easy” (2009) BMC </w:t>
      </w:r>
      <w:proofErr w:type="gramStart"/>
      <w:r w:rsidRPr="0002523E">
        <w:rPr>
          <w:rFonts w:cstheme="minorHAnsi"/>
        </w:rPr>
        <w:t>Genomics  10</w:t>
      </w:r>
      <w:proofErr w:type="gramEnd"/>
      <w:r w:rsidRPr="0002523E">
        <w:rPr>
          <w:rFonts w:cstheme="minorHAnsi"/>
        </w:rPr>
        <w:t xml:space="preserve"> (22)].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2pt;height:42.6pt;flip:x;visibility:visible;mso-wrap-style:square" o:bullet="t">
        <v:imagedata r:id="rId1" o:title=""/>
      </v:shape>
    </w:pict>
  </w:numPicBullet>
  <w:abstractNum w:abstractNumId="0">
    <w:nsid w:val="0C067214"/>
    <w:multiLevelType w:val="hybridMultilevel"/>
    <w:tmpl w:val="5BA41A8A"/>
    <w:lvl w:ilvl="0" w:tplc="9412D93A">
      <w:start w:val="1"/>
      <w:numFmt w:val="bullet"/>
      <w:lvlText w:val=""/>
      <w:lvlPicBulletId w:val="0"/>
      <w:lvlJc w:val="left"/>
      <w:pPr>
        <w:tabs>
          <w:tab w:val="num" w:pos="360"/>
        </w:tabs>
        <w:ind w:left="360" w:hanging="360"/>
      </w:pPr>
      <w:rPr>
        <w:rFonts w:ascii="Symbol" w:hAnsi="Symbol" w:hint="default"/>
      </w:rPr>
    </w:lvl>
    <w:lvl w:ilvl="1" w:tplc="2DDA8ADE" w:tentative="1">
      <w:start w:val="1"/>
      <w:numFmt w:val="bullet"/>
      <w:lvlText w:val=""/>
      <w:lvlJc w:val="left"/>
      <w:pPr>
        <w:tabs>
          <w:tab w:val="num" w:pos="1080"/>
        </w:tabs>
        <w:ind w:left="1080" w:hanging="360"/>
      </w:pPr>
      <w:rPr>
        <w:rFonts w:ascii="Symbol" w:hAnsi="Symbol" w:hint="default"/>
      </w:rPr>
    </w:lvl>
    <w:lvl w:ilvl="2" w:tplc="D3CA7D64" w:tentative="1">
      <w:start w:val="1"/>
      <w:numFmt w:val="bullet"/>
      <w:lvlText w:val=""/>
      <w:lvlJc w:val="left"/>
      <w:pPr>
        <w:tabs>
          <w:tab w:val="num" w:pos="1800"/>
        </w:tabs>
        <w:ind w:left="1800" w:hanging="360"/>
      </w:pPr>
      <w:rPr>
        <w:rFonts w:ascii="Symbol" w:hAnsi="Symbol" w:hint="default"/>
      </w:rPr>
    </w:lvl>
    <w:lvl w:ilvl="3" w:tplc="C6100E0A" w:tentative="1">
      <w:start w:val="1"/>
      <w:numFmt w:val="bullet"/>
      <w:lvlText w:val=""/>
      <w:lvlJc w:val="left"/>
      <w:pPr>
        <w:tabs>
          <w:tab w:val="num" w:pos="2520"/>
        </w:tabs>
        <w:ind w:left="2520" w:hanging="360"/>
      </w:pPr>
      <w:rPr>
        <w:rFonts w:ascii="Symbol" w:hAnsi="Symbol" w:hint="default"/>
      </w:rPr>
    </w:lvl>
    <w:lvl w:ilvl="4" w:tplc="DF9C170A" w:tentative="1">
      <w:start w:val="1"/>
      <w:numFmt w:val="bullet"/>
      <w:lvlText w:val=""/>
      <w:lvlJc w:val="left"/>
      <w:pPr>
        <w:tabs>
          <w:tab w:val="num" w:pos="3240"/>
        </w:tabs>
        <w:ind w:left="3240" w:hanging="360"/>
      </w:pPr>
      <w:rPr>
        <w:rFonts w:ascii="Symbol" w:hAnsi="Symbol" w:hint="default"/>
      </w:rPr>
    </w:lvl>
    <w:lvl w:ilvl="5" w:tplc="5C849434" w:tentative="1">
      <w:start w:val="1"/>
      <w:numFmt w:val="bullet"/>
      <w:lvlText w:val=""/>
      <w:lvlJc w:val="left"/>
      <w:pPr>
        <w:tabs>
          <w:tab w:val="num" w:pos="3960"/>
        </w:tabs>
        <w:ind w:left="3960" w:hanging="360"/>
      </w:pPr>
      <w:rPr>
        <w:rFonts w:ascii="Symbol" w:hAnsi="Symbol" w:hint="default"/>
      </w:rPr>
    </w:lvl>
    <w:lvl w:ilvl="6" w:tplc="25A8261C" w:tentative="1">
      <w:start w:val="1"/>
      <w:numFmt w:val="bullet"/>
      <w:lvlText w:val=""/>
      <w:lvlJc w:val="left"/>
      <w:pPr>
        <w:tabs>
          <w:tab w:val="num" w:pos="4680"/>
        </w:tabs>
        <w:ind w:left="4680" w:hanging="360"/>
      </w:pPr>
      <w:rPr>
        <w:rFonts w:ascii="Symbol" w:hAnsi="Symbol" w:hint="default"/>
      </w:rPr>
    </w:lvl>
    <w:lvl w:ilvl="7" w:tplc="5ED46A82" w:tentative="1">
      <w:start w:val="1"/>
      <w:numFmt w:val="bullet"/>
      <w:lvlText w:val=""/>
      <w:lvlJc w:val="left"/>
      <w:pPr>
        <w:tabs>
          <w:tab w:val="num" w:pos="5400"/>
        </w:tabs>
        <w:ind w:left="5400" w:hanging="360"/>
      </w:pPr>
      <w:rPr>
        <w:rFonts w:ascii="Symbol" w:hAnsi="Symbol" w:hint="default"/>
      </w:rPr>
    </w:lvl>
    <w:lvl w:ilvl="8" w:tplc="5F12924A" w:tentative="1">
      <w:start w:val="1"/>
      <w:numFmt w:val="bullet"/>
      <w:lvlText w:val=""/>
      <w:lvlJc w:val="left"/>
      <w:pPr>
        <w:tabs>
          <w:tab w:val="num" w:pos="6120"/>
        </w:tabs>
        <w:ind w:left="6120" w:hanging="360"/>
      </w:pPr>
      <w:rPr>
        <w:rFonts w:ascii="Symbol" w:hAnsi="Symbol" w:hint="default"/>
      </w:rPr>
    </w:lvl>
  </w:abstractNum>
  <w:abstractNum w:abstractNumId="1">
    <w:nsid w:val="6AE64D03"/>
    <w:multiLevelType w:val="hybridMultilevel"/>
    <w:tmpl w:val="435CAEB2"/>
    <w:lvl w:ilvl="0" w:tplc="52C4BD46">
      <w:start w:val="1"/>
      <w:numFmt w:val="bullet"/>
      <w:lvlText w:val=""/>
      <w:lvlPicBulletId w:val="0"/>
      <w:lvlJc w:val="left"/>
      <w:pPr>
        <w:tabs>
          <w:tab w:val="num" w:pos="360"/>
        </w:tabs>
        <w:ind w:left="360" w:hanging="360"/>
      </w:pPr>
      <w:rPr>
        <w:rFonts w:ascii="Symbol" w:hAnsi="Symbol" w:hint="default"/>
      </w:rPr>
    </w:lvl>
    <w:lvl w:ilvl="1" w:tplc="604A5B72" w:tentative="1">
      <w:start w:val="1"/>
      <w:numFmt w:val="bullet"/>
      <w:lvlText w:val=""/>
      <w:lvlJc w:val="left"/>
      <w:pPr>
        <w:tabs>
          <w:tab w:val="num" w:pos="1080"/>
        </w:tabs>
        <w:ind w:left="1080" w:hanging="360"/>
      </w:pPr>
      <w:rPr>
        <w:rFonts w:ascii="Symbol" w:hAnsi="Symbol" w:hint="default"/>
      </w:rPr>
    </w:lvl>
    <w:lvl w:ilvl="2" w:tplc="A5D0B660" w:tentative="1">
      <w:start w:val="1"/>
      <w:numFmt w:val="bullet"/>
      <w:lvlText w:val=""/>
      <w:lvlJc w:val="left"/>
      <w:pPr>
        <w:tabs>
          <w:tab w:val="num" w:pos="1800"/>
        </w:tabs>
        <w:ind w:left="1800" w:hanging="360"/>
      </w:pPr>
      <w:rPr>
        <w:rFonts w:ascii="Symbol" w:hAnsi="Symbol" w:hint="default"/>
      </w:rPr>
    </w:lvl>
    <w:lvl w:ilvl="3" w:tplc="151ACF20" w:tentative="1">
      <w:start w:val="1"/>
      <w:numFmt w:val="bullet"/>
      <w:lvlText w:val=""/>
      <w:lvlJc w:val="left"/>
      <w:pPr>
        <w:tabs>
          <w:tab w:val="num" w:pos="2520"/>
        </w:tabs>
        <w:ind w:left="2520" w:hanging="360"/>
      </w:pPr>
      <w:rPr>
        <w:rFonts w:ascii="Symbol" w:hAnsi="Symbol" w:hint="default"/>
      </w:rPr>
    </w:lvl>
    <w:lvl w:ilvl="4" w:tplc="8D346688" w:tentative="1">
      <w:start w:val="1"/>
      <w:numFmt w:val="bullet"/>
      <w:lvlText w:val=""/>
      <w:lvlJc w:val="left"/>
      <w:pPr>
        <w:tabs>
          <w:tab w:val="num" w:pos="3240"/>
        </w:tabs>
        <w:ind w:left="3240" w:hanging="360"/>
      </w:pPr>
      <w:rPr>
        <w:rFonts w:ascii="Symbol" w:hAnsi="Symbol" w:hint="default"/>
      </w:rPr>
    </w:lvl>
    <w:lvl w:ilvl="5" w:tplc="02A27000" w:tentative="1">
      <w:start w:val="1"/>
      <w:numFmt w:val="bullet"/>
      <w:lvlText w:val=""/>
      <w:lvlJc w:val="left"/>
      <w:pPr>
        <w:tabs>
          <w:tab w:val="num" w:pos="3960"/>
        </w:tabs>
        <w:ind w:left="3960" w:hanging="360"/>
      </w:pPr>
      <w:rPr>
        <w:rFonts w:ascii="Symbol" w:hAnsi="Symbol" w:hint="default"/>
      </w:rPr>
    </w:lvl>
    <w:lvl w:ilvl="6" w:tplc="1CFA285E" w:tentative="1">
      <w:start w:val="1"/>
      <w:numFmt w:val="bullet"/>
      <w:lvlText w:val=""/>
      <w:lvlJc w:val="left"/>
      <w:pPr>
        <w:tabs>
          <w:tab w:val="num" w:pos="4680"/>
        </w:tabs>
        <w:ind w:left="4680" w:hanging="360"/>
      </w:pPr>
      <w:rPr>
        <w:rFonts w:ascii="Symbol" w:hAnsi="Symbol" w:hint="default"/>
      </w:rPr>
    </w:lvl>
    <w:lvl w:ilvl="7" w:tplc="F904C250" w:tentative="1">
      <w:start w:val="1"/>
      <w:numFmt w:val="bullet"/>
      <w:lvlText w:val=""/>
      <w:lvlJc w:val="left"/>
      <w:pPr>
        <w:tabs>
          <w:tab w:val="num" w:pos="5400"/>
        </w:tabs>
        <w:ind w:left="5400" w:hanging="360"/>
      </w:pPr>
      <w:rPr>
        <w:rFonts w:ascii="Symbol" w:hAnsi="Symbol" w:hint="default"/>
      </w:rPr>
    </w:lvl>
    <w:lvl w:ilvl="8" w:tplc="16A4D2B4"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15"/>
    <w:rsid w:val="0002523E"/>
    <w:rsid w:val="00070807"/>
    <w:rsid w:val="001A4DBE"/>
    <w:rsid w:val="001C446E"/>
    <w:rsid w:val="00232A62"/>
    <w:rsid w:val="005E4330"/>
    <w:rsid w:val="006D25E9"/>
    <w:rsid w:val="006F2715"/>
    <w:rsid w:val="00966257"/>
    <w:rsid w:val="00AB2108"/>
    <w:rsid w:val="00B13236"/>
    <w:rsid w:val="00B57AAC"/>
    <w:rsid w:val="00C1722F"/>
    <w:rsid w:val="00E40096"/>
    <w:rsid w:val="00F03137"/>
    <w:rsid w:val="00F47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715"/>
    <w:rPr>
      <w:color w:val="0000FF" w:themeColor="hyperlink"/>
      <w:u w:val="single"/>
    </w:rPr>
  </w:style>
  <w:style w:type="paragraph" w:styleId="PlainText">
    <w:name w:val="Plain Text"/>
    <w:basedOn w:val="Normal"/>
    <w:link w:val="PlainTextChar"/>
    <w:uiPriority w:val="99"/>
    <w:unhideWhenUsed/>
    <w:rsid w:val="006F27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F2715"/>
    <w:rPr>
      <w:rFonts w:ascii="Calibri" w:hAnsi="Calibri"/>
      <w:szCs w:val="21"/>
    </w:rPr>
  </w:style>
  <w:style w:type="character" w:styleId="Strong">
    <w:name w:val="Strong"/>
    <w:basedOn w:val="DefaultParagraphFont"/>
    <w:uiPriority w:val="22"/>
    <w:qFormat/>
    <w:rsid w:val="006F2715"/>
    <w:rPr>
      <w:b/>
      <w:bCs/>
    </w:rPr>
  </w:style>
  <w:style w:type="paragraph" w:styleId="BalloonText">
    <w:name w:val="Balloon Text"/>
    <w:basedOn w:val="Normal"/>
    <w:link w:val="BalloonTextChar"/>
    <w:uiPriority w:val="99"/>
    <w:semiHidden/>
    <w:unhideWhenUsed/>
    <w:rsid w:val="00025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3E"/>
    <w:rPr>
      <w:rFonts w:ascii="Tahoma" w:hAnsi="Tahoma" w:cs="Tahoma"/>
      <w:sz w:val="16"/>
      <w:szCs w:val="16"/>
    </w:rPr>
  </w:style>
  <w:style w:type="character" w:styleId="FollowedHyperlink">
    <w:name w:val="FollowedHyperlink"/>
    <w:basedOn w:val="DefaultParagraphFont"/>
    <w:uiPriority w:val="99"/>
    <w:semiHidden/>
    <w:unhideWhenUsed/>
    <w:rsid w:val="0002523E"/>
    <w:rPr>
      <w:color w:val="800080" w:themeColor="followedHyperlink"/>
      <w:u w:val="single"/>
    </w:rPr>
  </w:style>
  <w:style w:type="paragraph" w:styleId="FootnoteText">
    <w:name w:val="footnote text"/>
    <w:basedOn w:val="Normal"/>
    <w:link w:val="FootnoteTextChar"/>
    <w:uiPriority w:val="99"/>
    <w:semiHidden/>
    <w:unhideWhenUsed/>
    <w:rsid w:val="00F47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D15"/>
    <w:rPr>
      <w:sz w:val="20"/>
      <w:szCs w:val="20"/>
    </w:rPr>
  </w:style>
  <w:style w:type="character" w:styleId="FootnoteReference">
    <w:name w:val="footnote reference"/>
    <w:basedOn w:val="DefaultParagraphFont"/>
    <w:uiPriority w:val="99"/>
    <w:semiHidden/>
    <w:unhideWhenUsed/>
    <w:rsid w:val="00F47D15"/>
    <w:rPr>
      <w:vertAlign w:val="superscript"/>
    </w:rPr>
  </w:style>
  <w:style w:type="paragraph" w:styleId="ListParagraph">
    <w:name w:val="List Paragraph"/>
    <w:basedOn w:val="Normal"/>
    <w:uiPriority w:val="34"/>
    <w:qFormat/>
    <w:rsid w:val="001A4D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715"/>
    <w:rPr>
      <w:color w:val="0000FF" w:themeColor="hyperlink"/>
      <w:u w:val="single"/>
    </w:rPr>
  </w:style>
  <w:style w:type="paragraph" w:styleId="PlainText">
    <w:name w:val="Plain Text"/>
    <w:basedOn w:val="Normal"/>
    <w:link w:val="PlainTextChar"/>
    <w:uiPriority w:val="99"/>
    <w:unhideWhenUsed/>
    <w:rsid w:val="006F271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F2715"/>
    <w:rPr>
      <w:rFonts w:ascii="Calibri" w:hAnsi="Calibri"/>
      <w:szCs w:val="21"/>
    </w:rPr>
  </w:style>
  <w:style w:type="character" w:styleId="Strong">
    <w:name w:val="Strong"/>
    <w:basedOn w:val="DefaultParagraphFont"/>
    <w:uiPriority w:val="22"/>
    <w:qFormat/>
    <w:rsid w:val="006F2715"/>
    <w:rPr>
      <w:b/>
      <w:bCs/>
    </w:rPr>
  </w:style>
  <w:style w:type="paragraph" w:styleId="BalloonText">
    <w:name w:val="Balloon Text"/>
    <w:basedOn w:val="Normal"/>
    <w:link w:val="BalloonTextChar"/>
    <w:uiPriority w:val="99"/>
    <w:semiHidden/>
    <w:unhideWhenUsed/>
    <w:rsid w:val="00025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3E"/>
    <w:rPr>
      <w:rFonts w:ascii="Tahoma" w:hAnsi="Tahoma" w:cs="Tahoma"/>
      <w:sz w:val="16"/>
      <w:szCs w:val="16"/>
    </w:rPr>
  </w:style>
  <w:style w:type="character" w:styleId="FollowedHyperlink">
    <w:name w:val="FollowedHyperlink"/>
    <w:basedOn w:val="DefaultParagraphFont"/>
    <w:uiPriority w:val="99"/>
    <w:semiHidden/>
    <w:unhideWhenUsed/>
    <w:rsid w:val="0002523E"/>
    <w:rPr>
      <w:color w:val="800080" w:themeColor="followedHyperlink"/>
      <w:u w:val="single"/>
    </w:rPr>
  </w:style>
  <w:style w:type="paragraph" w:styleId="FootnoteText">
    <w:name w:val="footnote text"/>
    <w:basedOn w:val="Normal"/>
    <w:link w:val="FootnoteTextChar"/>
    <w:uiPriority w:val="99"/>
    <w:semiHidden/>
    <w:unhideWhenUsed/>
    <w:rsid w:val="00F47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7D15"/>
    <w:rPr>
      <w:sz w:val="20"/>
      <w:szCs w:val="20"/>
    </w:rPr>
  </w:style>
  <w:style w:type="character" w:styleId="FootnoteReference">
    <w:name w:val="footnote reference"/>
    <w:basedOn w:val="DefaultParagraphFont"/>
    <w:uiPriority w:val="99"/>
    <w:semiHidden/>
    <w:unhideWhenUsed/>
    <w:rsid w:val="00F47D15"/>
    <w:rPr>
      <w:vertAlign w:val="superscript"/>
    </w:rPr>
  </w:style>
  <w:style w:type="paragraph" w:styleId="ListParagraph">
    <w:name w:val="List Paragraph"/>
    <w:basedOn w:val="Normal"/>
    <w:uiPriority w:val="34"/>
    <w:qFormat/>
    <w:rsid w:val="001A4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61298">
      <w:bodyDiv w:val="1"/>
      <w:marLeft w:val="0"/>
      <w:marRight w:val="120"/>
      <w:marTop w:val="0"/>
      <w:marBottom w:val="0"/>
      <w:divBdr>
        <w:top w:val="none" w:sz="0" w:space="0" w:color="auto"/>
        <w:left w:val="none" w:sz="0" w:space="0" w:color="auto"/>
        <w:bottom w:val="none" w:sz="0" w:space="0" w:color="auto"/>
        <w:right w:val="none" w:sz="0" w:space="0" w:color="auto"/>
      </w:divBdr>
      <w:divsChild>
        <w:div w:id="1352222460">
          <w:marLeft w:val="0"/>
          <w:marRight w:val="0"/>
          <w:marTop w:val="0"/>
          <w:marBottom w:val="288"/>
          <w:divBdr>
            <w:top w:val="none" w:sz="0" w:space="0" w:color="auto"/>
            <w:left w:val="none" w:sz="0" w:space="0" w:color="auto"/>
            <w:bottom w:val="none" w:sz="0" w:space="0" w:color="auto"/>
            <w:right w:val="none" w:sz="0" w:space="0" w:color="auto"/>
          </w:divBdr>
          <w:divsChild>
            <w:div w:id="7905170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526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nger.ac.uk/htgt/biomart" TargetMode="Externa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bowtie-bio.sourceforge.net/recount/biomaRt.pdf" TargetMode="External"/><Relationship Id="rId11" Type="http://schemas.openxmlformats.org/officeDocument/2006/relationships/hyperlink" Target="http://www.sanger.ac.uk/htgt/biomart"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BD10-A780-304C-8EE2-732ADDB4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545</Words>
  <Characters>3113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Karp</dc:creator>
  <cp:lastModifiedBy>Simon Holroyd</cp:lastModifiedBy>
  <cp:revision>2</cp:revision>
  <dcterms:created xsi:type="dcterms:W3CDTF">2012-02-15T16:43:00Z</dcterms:created>
  <dcterms:modified xsi:type="dcterms:W3CDTF">2012-02-15T16:43:00Z</dcterms:modified>
</cp:coreProperties>
</file>