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31" w:rsidRDefault="00014181" w:rsidP="00014181">
      <w:pPr>
        <w:pStyle w:val="a7"/>
        <w:widowControl w:val="0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 xml:space="preserve">Table </w:t>
      </w:r>
      <w:proofErr w:type="gramStart"/>
      <w:r>
        <w:rPr>
          <w:b/>
          <w:bCs/>
        </w:rPr>
        <w:t xml:space="preserve">1 </w:t>
      </w:r>
      <w:r>
        <w:rPr>
          <w:rFonts w:eastAsia="宋体" w:hint="eastAsia"/>
          <w:b/>
          <w:bCs/>
          <w:lang w:val="en-US" w:eastAsia="zh-CN"/>
        </w:rPr>
        <w:t xml:space="preserve"> </w:t>
      </w:r>
      <w:r>
        <w:rPr>
          <w:b/>
          <w:bCs/>
        </w:rPr>
        <w:t>Features</w:t>
      </w:r>
      <w:proofErr w:type="gramEnd"/>
      <w:r>
        <w:rPr>
          <w:b/>
          <w:bCs/>
        </w:rPr>
        <w:t xml:space="preserve"> of Hi-C reads with human datasets </w:t>
      </w:r>
    </w:p>
    <w:tbl>
      <w:tblPr>
        <w:tblStyle w:val="31"/>
        <w:tblpPr w:leftFromText="180" w:rightFromText="180" w:vertAnchor="text" w:horzAnchor="page" w:tblpX="604" w:tblpY="122"/>
        <w:tblOverlap w:val="never"/>
        <w:tblW w:w="110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57"/>
        <w:gridCol w:w="1512"/>
        <w:gridCol w:w="1788"/>
        <w:gridCol w:w="925"/>
        <w:gridCol w:w="1225"/>
        <w:gridCol w:w="1000"/>
        <w:gridCol w:w="975"/>
        <w:gridCol w:w="937"/>
        <w:tblGridChange w:id="0">
          <w:tblGrid>
            <w:gridCol w:w="1560"/>
            <w:gridCol w:w="1157"/>
            <w:gridCol w:w="1512"/>
            <w:gridCol w:w="1788"/>
            <w:gridCol w:w="925"/>
            <w:gridCol w:w="1225"/>
            <w:gridCol w:w="1000"/>
            <w:gridCol w:w="975"/>
            <w:gridCol w:w="937"/>
          </w:tblGrid>
        </w:tblGridChange>
      </w:tblGrid>
      <w:tr w:rsidR="00014181" w:rsidTr="00014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  <w:t>Datasets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  <w:t>Read pairs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bookmarkStart w:id="1" w:name="OLE_LINK4"/>
            <w:r w:rsidRPr="00014181">
              <w:rPr>
                <w:rFonts w:ascii="Times New Roman" w:hAnsi="Times New Roman" w:cs="Times New Roman" w:hint="eastAsia"/>
                <w:caps w:val="0"/>
                <w:color w:val="000000"/>
                <w:sz w:val="21"/>
                <w:szCs w:val="21"/>
                <w:lang w:val="en-US" w:eastAsia="zh-CN"/>
                <w14:ligatures w14:val="none"/>
              </w:rPr>
              <w:t>Percentage of unmapped reads</w:t>
            </w: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 w:rsidRPr="00014181"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  <w:t>(%)</w:t>
            </w:r>
            <w:bookmarkEnd w:id="1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 w:hint="eastAsia"/>
                <w:caps w:val="0"/>
                <w:color w:val="000000"/>
                <w:sz w:val="21"/>
                <w:szCs w:val="21"/>
                <w:lang w:val="en-US" w:eastAsia="zh-CN"/>
                <w14:ligatures w14:val="none"/>
              </w:rPr>
              <w:t xml:space="preserve">Percentage of reads with PCR duplication </w:t>
            </w: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 w:rsidRPr="00014181"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  <w:t>(%)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  <w:t>ICI</w:t>
            </w:r>
            <w:r w:rsidRPr="00014181">
              <w:rPr>
                <w:rFonts w:ascii="Times New Roman" w:hAnsi="Times New Roman" w:cs="Times New Roman" w:hint="eastAsia"/>
                <w:bCs w:val="0"/>
                <w:caps w:val="0"/>
                <w:color w:val="00000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rate</w:t>
            </w:r>
            <w:r w:rsidRPr="00014181">
              <w:rPr>
                <w:rFonts w:ascii="Times New Roman" w:hAnsi="Times New Roman" w:cs="Times New Roman" w:hint="eastAsia"/>
                <w:bCs w:val="0"/>
                <w:caps w:val="0"/>
                <w:color w:val="00000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 w:rsidRPr="00014181"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  <w:t>(%)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  <w:t>Accessibility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  <w:t>N50 (Mb)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  <w:t>N20 (Mb)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Cs w:val="0"/>
                <w:color w:val="000000"/>
                <w:sz w:val="21"/>
                <w:szCs w:val="21"/>
                <w:lang w:val="en-US" w:eastAsia="zh-CN"/>
                <w14:ligatures w14:val="none"/>
              </w:rPr>
              <w:t>N10 (Mb)</w:t>
            </w:r>
          </w:p>
        </w:tc>
      </w:tr>
      <w:tr w:rsidR="00014181" w:rsidTr="0001418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  <w:t xml:space="preserve">Arima V2 </w:t>
            </w:r>
          </w:p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  <w:t>NA12878-CEU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352,429,304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20.9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6.8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12.7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0.596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47.9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96.3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130.3</w:t>
            </w:r>
          </w:p>
        </w:tc>
      </w:tr>
      <w:tr w:rsidR="00014181" w:rsidTr="0001418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  <w:t xml:space="preserve">Arima V2 </w:t>
            </w:r>
          </w:p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  <w:t>NA24385-AJ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413,162,798</w:t>
            </w:r>
          </w:p>
        </w:tc>
        <w:tc>
          <w:tcPr>
            <w:tcW w:w="1512" w:type="dxa"/>
            <w:tcBorders>
              <w:left w:val="nil"/>
            </w:tcBorders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24.8</w:t>
            </w:r>
          </w:p>
        </w:tc>
        <w:tc>
          <w:tcPr>
            <w:tcW w:w="1788" w:type="dxa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6.1</w:t>
            </w:r>
          </w:p>
        </w:tc>
        <w:tc>
          <w:tcPr>
            <w:tcW w:w="925" w:type="dxa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16.2</w:t>
            </w:r>
          </w:p>
        </w:tc>
        <w:tc>
          <w:tcPr>
            <w:tcW w:w="1225" w:type="dxa"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0.529</w:t>
            </w:r>
          </w:p>
        </w:tc>
        <w:tc>
          <w:tcPr>
            <w:tcW w:w="1000" w:type="dxa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47.2</w:t>
            </w:r>
          </w:p>
        </w:tc>
        <w:tc>
          <w:tcPr>
            <w:tcW w:w="975" w:type="dxa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104.9</w:t>
            </w:r>
          </w:p>
        </w:tc>
        <w:tc>
          <w:tcPr>
            <w:tcW w:w="937" w:type="dxa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141.9</w:t>
            </w:r>
          </w:p>
        </w:tc>
      </w:tr>
      <w:tr w:rsidR="00014181" w:rsidTr="0001418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  <w:t xml:space="preserve">Arima V1 </w:t>
            </w:r>
          </w:p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  <w14:ligatures w14:val="none"/>
              </w:rPr>
              <w:t>NA12878-CEU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415,173,112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28.6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10.1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18.5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0.328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28.2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63.1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12C31" w:rsidRPr="00014181" w:rsidRDefault="00014181" w:rsidP="00014181">
            <w:pPr>
              <w:widowControl w:val="0"/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</w:pPr>
            <w:r w:rsidRPr="00014181"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  <w14:ligatures w14:val="none"/>
              </w:rPr>
              <w:t>100.0</w:t>
            </w:r>
          </w:p>
        </w:tc>
      </w:tr>
    </w:tbl>
    <w:p w:rsidR="00412C31" w:rsidRPr="00014181" w:rsidRDefault="00014181" w:rsidP="00014181">
      <w:pPr>
        <w:widowControl w:val="0"/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  <w:bookmarkStart w:id="2" w:name="OLE_LINK2"/>
      <w:r w:rsidRPr="00014181">
        <w:rPr>
          <w:rFonts w:ascii="Times New Roman" w:hAnsi="Times New Roman" w:cs="Times New Roman"/>
          <w:i/>
          <w:iCs/>
          <w:lang w:val="en-US" w:eastAsia="zh-CN"/>
        </w:rPr>
        <w:t>Note</w:t>
      </w:r>
      <w:r>
        <w:rPr>
          <w:rFonts w:ascii="Times New Roman" w:hAnsi="Times New Roman" w:cs="Times New Roman" w:hint="eastAsia"/>
          <w:lang w:val="en-US" w:eastAsia="zh-CN"/>
        </w:rPr>
        <w:t xml:space="preserve">: </w:t>
      </w:r>
      <w:bookmarkEnd w:id="2"/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each dataset, we present the individual accessibility metrics </w:t>
      </w:r>
      <w:r w:rsidRPr="00014181"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/>
        </w:rPr>
        <w:t xml:space="preserve"> the unmapped rate, the P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duplication</w:t>
      </w:r>
      <w:r>
        <w:rPr>
          <w:rFonts w:ascii="Times New Roman" w:hAnsi="Times New Roman" w:cs="Times New Roman"/>
        </w:rPr>
        <w:t xml:space="preserve"> rate</w:t>
      </w:r>
      <w:r>
        <w:rPr>
          <w:rFonts w:ascii="Times New Roman" w:hAnsi="Times New Roman" w:cs="Times New Roman" w:hint="eastAsia"/>
          <w:lang w:val="en-US" w:eastAsia="zh-CN"/>
        </w:rPr>
        <w:t>,</w:t>
      </w:r>
      <w:r>
        <w:rPr>
          <w:rFonts w:ascii="Times New Roman" w:hAnsi="Times New Roman" w:cs="Times New Roman"/>
        </w:rPr>
        <w:t xml:space="preserve"> and the </w:t>
      </w:r>
      <w:r>
        <w:rPr>
          <w:rFonts w:ascii="Times New Roman" w:hAnsi="Times New Roman" w:cs="Times New Roman"/>
        </w:rPr>
        <w:t>ICI</w:t>
      </w:r>
      <w:bookmarkStart w:id="3" w:name="OLE_LINK1"/>
      <w:r>
        <w:rPr>
          <w:rFonts w:ascii="Times New Roman" w:hAnsi="Times New Roman" w:cs="Times New Roman"/>
        </w:rPr>
        <w:t xml:space="preserve"> rate</w:t>
      </w:r>
      <w:bookmarkEnd w:id="3"/>
      <w:r>
        <w:rPr>
          <w:rFonts w:ascii="Times New Roman" w:hAnsi="Times New Roman" w:cs="Times New Roman"/>
        </w:rPr>
        <w:t xml:space="preserve">, using Equation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to compute the final </w:t>
      </w:r>
      <w:r>
        <w:rPr>
          <w:rFonts w:ascii="Times New Roman" w:hAnsi="Times New Roman" w:cs="Times New Roman" w:hint="eastAsia"/>
          <w:lang w:val="en-US" w:eastAsia="zh-CN"/>
        </w:rPr>
        <w:t>a</w:t>
      </w:r>
      <w:proofErr w:type="spellStart"/>
      <w:r>
        <w:rPr>
          <w:rFonts w:ascii="Times New Roman" w:hAnsi="Times New Roman" w:cs="Times New Roman"/>
        </w:rPr>
        <w:t>ccessibility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  <w:lang w:val="en-US" w:eastAsia="zh-CN"/>
        </w:rPr>
        <w:t xml:space="preserve">We </w:t>
      </w:r>
      <w:r>
        <w:rPr>
          <w:rFonts w:ascii="Times New Roman" w:hAnsi="Times New Roman" w:cs="Times New Roman" w:hint="eastAsia"/>
          <w:lang w:val="en-US" w:eastAsia="zh-CN"/>
        </w:rPr>
        <w:t>a</w:t>
      </w:r>
      <w:proofErr w:type="spellStart"/>
      <w:r>
        <w:rPr>
          <w:rFonts w:ascii="Times New Roman" w:hAnsi="Times New Roman" w:cs="Times New Roman"/>
        </w:rPr>
        <w:t>lso</w:t>
      </w:r>
      <w:proofErr w:type="spellEnd"/>
      <w:r>
        <w:rPr>
          <w:rFonts w:ascii="Times New Roman" w:hAnsi="Times New Roman" w:cs="Times New Roman"/>
        </w:rPr>
        <w:t xml:space="preserve"> present</w:t>
      </w:r>
      <w:r>
        <w:rPr>
          <w:rFonts w:ascii="Times New Roman" w:hAnsi="Times New Roman" w:cs="Times New Roman"/>
        </w:rPr>
        <w:t xml:space="preserve"> the standard N10, N20</w:t>
      </w:r>
      <w:r>
        <w:rPr>
          <w:rFonts w:ascii="Times New Roman" w:hAnsi="Times New Roman" w:cs="Times New Roman" w:hint="eastAsia"/>
          <w:lang w:val="en-US" w:eastAsia="zh-CN"/>
        </w:rPr>
        <w:t>,</w:t>
      </w:r>
      <w:r>
        <w:rPr>
          <w:rFonts w:ascii="Times New Roman" w:hAnsi="Times New Roman" w:cs="Times New Roman"/>
        </w:rPr>
        <w:t xml:space="preserve"> and N50 measures.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lang w:val="en-US" w:eastAsia="zh-CN"/>
        </w:rPr>
        <w:t xml:space="preserve">Hi-C, high-throughput chromosome conformation capture; </w:t>
      </w:r>
      <w:r>
        <w:rPr>
          <w:rFonts w:ascii="Times New Roman" w:hAnsi="Times New Roman" w:cs="Times New Roman"/>
        </w:rPr>
        <w:t>ICI</w:t>
      </w:r>
      <w:r>
        <w:rPr>
          <w:rFonts w:ascii="Times New Roman" w:hAnsi="Times New Roman" w:cs="Times New Roman" w:hint="eastAsia"/>
          <w:lang w:val="en-US" w:eastAsia="zh-CN"/>
        </w:rPr>
        <w:t xml:space="preserve">, </w:t>
      </w:r>
      <w:proofErr w:type="spellStart"/>
      <w:r>
        <w:rPr>
          <w:rFonts w:ascii="Times New Roman" w:hAnsi="Times New Roman" w:cs="Times New Roman" w:hint="eastAsia"/>
          <w:lang w:val="en-US" w:eastAsia="zh-CN"/>
        </w:rPr>
        <w:t>i</w:t>
      </w:r>
      <w:r>
        <w:rPr>
          <w:rFonts w:ascii="Times New Roman" w:hAnsi="Times New Roman" w:cs="Times New Roman"/>
        </w:rPr>
        <w:t>nter</w:t>
      </w:r>
      <w:proofErr w:type="spellEnd"/>
      <w:r>
        <w:rPr>
          <w:rFonts w:ascii="Times New Roman" w:hAnsi="Times New Roman" w:cs="Times New Roman" w:hint="eastAsia"/>
          <w:lang w:val="en-US" w:eastAsia="zh-CN"/>
        </w:rPr>
        <w:t>-</w:t>
      </w:r>
      <w:r>
        <w:rPr>
          <w:rFonts w:ascii="Times New Roman" w:hAnsi="Times New Roman" w:cs="Times New Roman"/>
        </w:rPr>
        <w:t xml:space="preserve">chromosomal </w:t>
      </w:r>
      <w:proofErr w:type="spellStart"/>
      <w:r>
        <w:rPr>
          <w:rFonts w:ascii="Times New Roman" w:hAnsi="Times New Roman" w:cs="Times New Roman" w:hint="eastAsia"/>
          <w:lang w:val="en-US" w:eastAsia="zh-CN"/>
        </w:rPr>
        <w:t>i</w:t>
      </w:r>
      <w:r>
        <w:rPr>
          <w:rFonts w:ascii="Times New Roman" w:hAnsi="Times New Roman" w:cs="Times New Roman"/>
        </w:rPr>
        <w:t>nteraction</w:t>
      </w:r>
      <w:proofErr w:type="spellEnd"/>
      <w:r>
        <w:rPr>
          <w:rFonts w:ascii="Times New Roman" w:hAnsi="Times New Roman" w:cs="Times New Roman" w:hint="eastAsia"/>
          <w:lang w:val="en-US" w:eastAsia="zh-CN"/>
        </w:rPr>
        <w:t>;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PCR</w:t>
      </w:r>
      <w:r>
        <w:rPr>
          <w:rFonts w:ascii="Times New Roman" w:hAnsi="Times New Roman" w:cs="Times New Roman" w:hint="eastAsia"/>
          <w:lang w:val="en-US" w:eastAsia="zh-CN"/>
        </w:rPr>
        <w:t>, polymerase chain reaction.</w:t>
      </w:r>
    </w:p>
    <w:p w:rsidR="00412C31" w:rsidRPr="00014181" w:rsidRDefault="00412C31" w:rsidP="00014181">
      <w:pPr>
        <w:widowControl w:val="0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</w:rPr>
      </w:pPr>
      <w:bookmarkStart w:id="4" w:name="_GoBack"/>
      <w:bookmarkEnd w:id="4"/>
    </w:p>
    <w:sectPr w:rsidR="00412C31" w:rsidRPr="00014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0OTZmMjA2MjE1MGYxZDU0MGNiMTRkZWEwNjUxYzYifQ=="/>
  </w:docVars>
  <w:rsids>
    <w:rsidRoot w:val="008465C6"/>
    <w:rsid w:val="00014181"/>
    <w:rsid w:val="0002418D"/>
    <w:rsid w:val="00051FE8"/>
    <w:rsid w:val="00055824"/>
    <w:rsid w:val="00065392"/>
    <w:rsid w:val="000963A7"/>
    <w:rsid w:val="000E1703"/>
    <w:rsid w:val="00113348"/>
    <w:rsid w:val="00155AC1"/>
    <w:rsid w:val="001C56EF"/>
    <w:rsid w:val="001F0D2D"/>
    <w:rsid w:val="00212EFB"/>
    <w:rsid w:val="002423C3"/>
    <w:rsid w:val="00245667"/>
    <w:rsid w:val="00334125"/>
    <w:rsid w:val="00343729"/>
    <w:rsid w:val="00381A08"/>
    <w:rsid w:val="00412C31"/>
    <w:rsid w:val="00476A46"/>
    <w:rsid w:val="004C0E11"/>
    <w:rsid w:val="004D20F3"/>
    <w:rsid w:val="00515634"/>
    <w:rsid w:val="00521F13"/>
    <w:rsid w:val="005C2A95"/>
    <w:rsid w:val="005C41D3"/>
    <w:rsid w:val="005E6EFE"/>
    <w:rsid w:val="005F3FAB"/>
    <w:rsid w:val="00606C17"/>
    <w:rsid w:val="00624EB1"/>
    <w:rsid w:val="00693206"/>
    <w:rsid w:val="00700C34"/>
    <w:rsid w:val="00701007"/>
    <w:rsid w:val="00766819"/>
    <w:rsid w:val="007E44AF"/>
    <w:rsid w:val="008465C6"/>
    <w:rsid w:val="00853A9C"/>
    <w:rsid w:val="008570E5"/>
    <w:rsid w:val="00872AAA"/>
    <w:rsid w:val="008A57D5"/>
    <w:rsid w:val="00981874"/>
    <w:rsid w:val="009A2171"/>
    <w:rsid w:val="009A4669"/>
    <w:rsid w:val="009C4117"/>
    <w:rsid w:val="009E1F5B"/>
    <w:rsid w:val="009F736E"/>
    <w:rsid w:val="00AB4C4D"/>
    <w:rsid w:val="00B27B14"/>
    <w:rsid w:val="00B83962"/>
    <w:rsid w:val="00CC669A"/>
    <w:rsid w:val="00D15F48"/>
    <w:rsid w:val="00DD0FEB"/>
    <w:rsid w:val="00DF48ED"/>
    <w:rsid w:val="00E051A0"/>
    <w:rsid w:val="00E313B0"/>
    <w:rsid w:val="00E92B79"/>
    <w:rsid w:val="00E93A81"/>
    <w:rsid w:val="00EC3EAE"/>
    <w:rsid w:val="00EF3919"/>
    <w:rsid w:val="00FF0208"/>
    <w:rsid w:val="011A1D71"/>
    <w:rsid w:val="1ED553CB"/>
    <w:rsid w:val="46C665E9"/>
    <w:rsid w:val="51C72109"/>
    <w:rsid w:val="696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EB6AB-79D5-4EEA-AF59-9F3D6D4B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customStyle="1" w:styleId="31">
    <w:name w:val="无格式表格 31"/>
    <w:basedOn w:val="a1"/>
    <w:uiPriority w:val="43"/>
    <w:qFormat/>
    <w:rPr>
      <w:sz w:val="21"/>
      <w:szCs w:val="22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a1"/>
    <w:uiPriority w:val="45"/>
    <w:qFormat/>
    <w:rPr>
      <w:sz w:val="21"/>
      <w:szCs w:val="22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141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14181"/>
    <w:rPr>
      <w:rFonts w:asciiTheme="minorHAnsi" w:eastAsiaTheme="minorEastAsia" w:hAnsiTheme="minorHAnsi" w:cstheme="minorBidi"/>
      <w:kern w:val="2"/>
      <w:sz w:val="18"/>
      <w:szCs w:val="18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49B7AD-3F0B-44FD-9133-3299AA7A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Fraser-Govil</dc:creator>
  <cp:lastModifiedBy>谢珊珊</cp:lastModifiedBy>
  <cp:revision>11</cp:revision>
  <dcterms:created xsi:type="dcterms:W3CDTF">2024-04-18T08:44:00Z</dcterms:created>
  <dcterms:modified xsi:type="dcterms:W3CDTF">2024-05-31T07:40:00Z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D864E8BB6C8D4F2794F89B2EF9A14B2B_12</vt:lpwstr>
  </property>
</Properties>
</file>